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核酸提取仪</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SZZZ2022-QA0305</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eastAsia="zh-CN"/>
        </w:rPr>
        <w:t>十一</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3"/>
      </w:pPr>
      <w:bookmarkStart w:id="0" w:name="_Toc11041028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核酸提取仪</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lang w:eastAsia="zh-CN"/>
        </w:rPr>
        <w:t>SZZZ2022-QA0305</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核酸提取仪</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40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40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核酸提取仪</w:t>
            </w:r>
          </w:p>
        </w:tc>
        <w:tc>
          <w:tcPr>
            <w:tcW w:w="850"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val="en-US" w:eastAsia="zh-CN"/>
              </w:rPr>
              <w:t>2</w:t>
            </w:r>
          </w:p>
        </w:tc>
        <w:tc>
          <w:tcPr>
            <w:tcW w:w="851"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套</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25</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地址：深圳市福田区福华路1号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联系方式：黄先生，</w:t>
      </w:r>
      <w:r>
        <w:rPr>
          <w:rFonts w:ascii="宋体" w:hAnsi="宋体" w:eastAsia="宋体"/>
          <w:snapToGrid w:val="0"/>
          <w:color w:val="auto"/>
          <w:sz w:val="21"/>
          <w:szCs w:val="21"/>
        </w:rPr>
        <w:t>0755-88359666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14</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110410286"/>
      <w:r>
        <w:rPr>
          <w:rFonts w:hint="eastAsia"/>
        </w:rPr>
        <w:t>第二章  项目需求</w:t>
      </w:r>
      <w:bookmarkEnd w:id="1"/>
    </w:p>
    <w:p>
      <w:pPr>
        <w:spacing w:afterLines="50" w:line="360" w:lineRule="auto"/>
        <w:ind w:left="2"/>
        <w:jc w:val="center"/>
        <w:rPr>
          <w:rFonts w:ascii="宋体" w:hAnsi="宋体"/>
          <w:b/>
          <w:sz w:val="28"/>
          <w:szCs w:val="28"/>
        </w:rPr>
      </w:pPr>
      <w:bookmarkStart w:id="91" w:name="_GoBack"/>
      <w:bookmarkEnd w:id="91"/>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核酸提取仪</w:t>
            </w:r>
          </w:p>
        </w:tc>
        <w:tc>
          <w:tcPr>
            <w:tcW w:w="850" w:type="dxa"/>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2</w:t>
            </w:r>
          </w:p>
        </w:tc>
        <w:tc>
          <w:tcPr>
            <w:tcW w:w="993"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套</w:t>
            </w:r>
          </w:p>
        </w:tc>
        <w:tc>
          <w:tcPr>
            <w:tcW w:w="1701" w:type="dxa"/>
            <w:vAlign w:val="center"/>
          </w:tcPr>
          <w:p>
            <w:pPr>
              <w:jc w:val="center"/>
              <w:rPr>
                <w:rFonts w:hint="default" w:ascii="宋体" w:hAnsi="宋体" w:cs="宋体"/>
                <w:bCs/>
                <w:kern w:val="0"/>
                <w:szCs w:val="21"/>
                <w:lang w:val="en-US"/>
              </w:rPr>
            </w:pPr>
            <w:r>
              <w:rPr>
                <w:rFonts w:hint="default" w:ascii="宋体" w:hAnsi="宋体" w:cs="宋体"/>
                <w:bCs/>
                <w:kern w:val="0"/>
                <w:szCs w:val="21"/>
                <w:lang w:val="en-US" w:eastAsia="zh-CN"/>
              </w:rPr>
              <w:t>400</w:t>
            </w:r>
            <w:r>
              <w:rPr>
                <w:rFonts w:hint="eastAsia" w:ascii="宋体" w:hAnsi="宋体" w:cs="宋体"/>
                <w:bCs/>
                <w:kern w:val="0"/>
                <w:szCs w:val="21"/>
                <w:lang w:val="en-US" w:eastAsia="zh-CN"/>
              </w:rPr>
              <w:t>,</w:t>
            </w:r>
            <w:r>
              <w:rPr>
                <w:rFonts w:hint="default" w:ascii="宋体" w:hAnsi="宋体" w:cs="宋体"/>
                <w:bCs/>
                <w:kern w:val="0"/>
                <w:szCs w:val="21"/>
                <w:lang w:val="en-US" w:eastAsia="zh-CN"/>
              </w:rPr>
              <w:t>000</w:t>
            </w:r>
            <w:r>
              <w:rPr>
                <w:rFonts w:hint="eastAsia" w:ascii="宋体" w:hAnsi="宋体" w:cs="宋体"/>
                <w:bCs/>
                <w:kern w:val="0"/>
                <w:szCs w:val="21"/>
                <w:lang w:val="en-US" w:eastAsia="zh-CN"/>
              </w:rPr>
              <w:t>.00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keepNext w:val="0"/>
        <w:keepLines w:val="0"/>
        <w:pageBreakBefore w:val="0"/>
        <w:widowControl w:val="0"/>
        <w:kinsoku/>
        <w:wordWrap/>
        <w:overflowPunct/>
        <w:topLinePunct w:val="0"/>
        <w:autoSpaceDE/>
        <w:autoSpaceDN/>
        <w:bidi w:val="0"/>
        <w:snapToGrid w:val="0"/>
        <w:spacing w:line="360" w:lineRule="auto"/>
        <w:ind w:left="2" w:firstLine="422" w:firstLineChars="201"/>
        <w:jc w:val="left"/>
        <w:textAlignment w:val="auto"/>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snapToGrid w:val="0"/>
          <w:kern w:val="0"/>
          <w:szCs w:val="21"/>
          <w:highlight w:val="yellow"/>
        </w:rPr>
        <w:t>如同时有两家或两家以上（均为制造商的合法代理商）通过资格审查及符合性审查的合格投标人所投产品为相同品牌的，按一家投标人计算。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hint="eastAsia"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hint="default" w:ascii="宋体" w:hAnsi="宋体" w:eastAsia="宋体"/>
          <w:b/>
          <w:bCs w:val="0"/>
          <w:snapToGrid w:val="0"/>
          <w:kern w:val="0"/>
          <w:szCs w:val="21"/>
          <w:highlight w:val="yellow"/>
          <w:lang w:val="en-US" w:eastAsia="zh-CN"/>
        </w:rPr>
      </w:pPr>
      <w:r>
        <w:rPr>
          <w:rFonts w:hint="eastAsia" w:asciiTheme="minorEastAsia" w:hAnsiTheme="minorEastAsia" w:eastAsiaTheme="minorEastAsia"/>
          <w:kern w:val="0"/>
          <w:szCs w:val="21"/>
          <w:highlight w:val="yellow"/>
        </w:rPr>
        <w:t>★</w:t>
      </w:r>
      <w:r>
        <w:rPr>
          <w:rFonts w:hint="eastAsia" w:ascii="宋体" w:hAnsi="宋体"/>
          <w:b/>
          <w:bCs w:val="0"/>
          <w:snapToGrid w:val="0"/>
          <w:kern w:val="0"/>
          <w:szCs w:val="21"/>
          <w:highlight w:val="yellow"/>
          <w:lang w:val="en-US" w:eastAsia="zh-CN"/>
        </w:rPr>
        <w:t>（5）若投标人为所投产品的生产企业，必须提供《医疗器械生产企业许可证》，且生产范围包含该产品；若投标人为所投产品的代理商或授权供应商，必须提供《医疗器械经营企业许可证》，且经营范围包含该产品。</w:t>
      </w:r>
    </w:p>
    <w:p>
      <w:pPr>
        <w:adjustRightInd w:val="0"/>
        <w:snapToGrid w:val="0"/>
        <w:spacing w:line="360" w:lineRule="auto"/>
        <w:ind w:firstLine="424" w:firstLineChars="201"/>
        <w:rPr>
          <w:rFonts w:hint="eastAsia" w:ascii="宋体" w:hAnsi="宋体" w:eastAsia="宋体"/>
          <w:bCs/>
          <w:snapToGrid w:val="0"/>
          <w:kern w:val="0"/>
          <w:szCs w:val="21"/>
          <w:lang w:eastAsia="zh-CN"/>
        </w:rPr>
      </w:pPr>
      <w:r>
        <w:rPr>
          <w:rFonts w:hint="eastAsia" w:asciiTheme="minorEastAsia" w:hAnsiTheme="minorEastAsia" w:eastAsiaTheme="minorEastAsia"/>
          <w:b/>
          <w:bCs w:val="0"/>
          <w:kern w:val="0"/>
          <w:szCs w:val="21"/>
          <w:highlight w:val="yellow"/>
        </w:rPr>
        <w:t>★</w:t>
      </w:r>
      <w:r>
        <w:rPr>
          <w:rFonts w:hint="eastAsia" w:ascii="宋体" w:hAnsi="宋体"/>
          <w:b/>
          <w:bCs w:val="0"/>
          <w:snapToGrid w:val="0"/>
          <w:kern w:val="0"/>
          <w:szCs w:val="21"/>
          <w:highlight w:val="yellow"/>
          <w:lang w:eastAsia="zh-CN"/>
        </w:rPr>
        <w:t>（</w:t>
      </w:r>
      <w:r>
        <w:rPr>
          <w:rFonts w:hint="eastAsia" w:ascii="宋体" w:hAnsi="宋体"/>
          <w:b/>
          <w:bCs w:val="0"/>
          <w:snapToGrid w:val="0"/>
          <w:kern w:val="0"/>
          <w:szCs w:val="21"/>
          <w:highlight w:val="yellow"/>
          <w:lang w:val="en-US" w:eastAsia="zh-CN"/>
        </w:rPr>
        <w:t>6</w:t>
      </w:r>
      <w:r>
        <w:rPr>
          <w:rFonts w:hint="eastAsia" w:ascii="宋体" w:hAnsi="宋体"/>
          <w:b/>
          <w:bCs w:val="0"/>
          <w:snapToGrid w:val="0"/>
          <w:kern w:val="0"/>
          <w:szCs w:val="21"/>
          <w:highlight w:val="yellow"/>
          <w:lang w:eastAsia="zh-CN"/>
        </w:rPr>
        <w:t>）投标人必须提供所投产品的《医疗器械注册（备案）证》的扫描件，原件备查（开标时，该证应在有效期内；若不在有效期内，则需提供该证和所投产品在该证有效期内生产的药监局出具的证明文件）。</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980" w:type="dxa"/>
            <w:vAlign w:val="center"/>
          </w:tcPr>
          <w:p>
            <w:pPr>
              <w:widowControl/>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货物名称</w:t>
            </w:r>
          </w:p>
        </w:tc>
        <w:tc>
          <w:tcPr>
            <w:tcW w:w="6737"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lang w:eastAsia="zh-CN"/>
              </w:rPr>
              <w:t>核酸提取仪</w:t>
            </w:r>
          </w:p>
        </w:tc>
        <w:tc>
          <w:tcPr>
            <w:tcW w:w="6737" w:type="dxa"/>
          </w:tcPr>
          <w:p>
            <w:pPr>
              <w:spacing w:after="60" w:line="360" w:lineRule="auto"/>
              <w:rPr>
                <w:rFonts w:asciiTheme="minorEastAsia" w:hAnsiTheme="minorEastAsia" w:eastAsiaTheme="minorEastAsia"/>
                <w:szCs w:val="21"/>
              </w:rPr>
            </w:pPr>
            <w:r>
              <w:rPr>
                <w:rFonts w:hint="eastAsia" w:ascii="宋体" w:hAnsi="宋体" w:eastAsia="宋体" w:cs="宋体"/>
                <w:szCs w:val="21"/>
              </w:rPr>
              <w:t>▲1、用于磁珠法提取、纯化核酸。样品裂解后，释放出来的核酸分子被特异性的吸附在磁珠表面，通过内置磁棒磁吸、转移、洗涤、最后使核酸分子溶解在洗脱液中，搭配不同种类的磁珠核酸试剂，可以快速提取纯化动植物组织、血液及体液等样品中的核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宋体" w:hAnsi="宋体" w:eastAsia="宋体" w:cs="宋体"/>
                <w:bCs/>
                <w:szCs w:val="21"/>
              </w:rPr>
              <w:t>2、样品通量：</w:t>
            </w:r>
            <w:r>
              <w:rPr>
                <w:rFonts w:hint="eastAsia" w:ascii="宋体" w:hAnsi="宋体" w:eastAsia="宋体" w:cs="宋体"/>
                <w:bCs/>
                <w:szCs w:val="21"/>
                <w:lang w:eastAsia="zh-CN"/>
              </w:rPr>
              <w:t>（</w:t>
            </w:r>
            <w:r>
              <w:rPr>
                <w:rFonts w:hint="eastAsia" w:ascii="宋体" w:hAnsi="宋体" w:eastAsia="宋体" w:cs="宋体"/>
                <w:bCs/>
                <w:szCs w:val="21"/>
                <w:lang w:val="en-US" w:eastAsia="zh-CN"/>
              </w:rPr>
              <w:t>96/24）×1，（1-32）×2</w:t>
            </w:r>
            <w:r>
              <w:rPr>
                <w:rFonts w:hint="eastAsia" w:ascii="宋体" w:hAnsi="宋体" w:eastAsia="宋体" w:cs="宋体"/>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宋体" w:hAnsi="宋体" w:eastAsia="宋体" w:cs="宋体"/>
                <w:szCs w:val="21"/>
              </w:rPr>
              <w:t>▲</w:t>
            </w:r>
            <w:r>
              <w:rPr>
                <w:rFonts w:hint="eastAsia" w:ascii="宋体" w:hAnsi="宋体" w:eastAsia="宋体" w:cs="宋体"/>
                <w:bCs/>
                <w:szCs w:val="21"/>
              </w:rPr>
              <w:t>3、处理体积：50-1000ul。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宋体" w:hAnsi="宋体" w:eastAsia="宋体" w:cs="宋体"/>
                <w:szCs w:val="21"/>
              </w:rPr>
              <w:t>4、使用耗材：96孔板+磁棒套。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宋体" w:hAnsi="宋体" w:eastAsia="宋体" w:cs="宋体"/>
                <w:szCs w:val="21"/>
              </w:rPr>
              <w:t>▲5、仪器原理：磁珠法、磁棒式</w:t>
            </w:r>
            <w:r>
              <w:rPr>
                <w:rFonts w:hint="eastAsia" w:ascii="宋体" w:hAnsi="宋体" w:eastAsia="宋体" w:cs="宋体"/>
                <w:szCs w:val="21"/>
                <w:lang w:eastAsia="zh-CN"/>
              </w:rPr>
              <w:t>，</w:t>
            </w:r>
            <w:r>
              <w:rPr>
                <w:rFonts w:hint="eastAsia" w:ascii="宋体" w:hAnsi="宋体" w:eastAsia="宋体" w:cs="宋体"/>
                <w:szCs w:val="21"/>
                <w:lang w:val="en-US" w:eastAsia="zh-CN"/>
              </w:rPr>
              <w:t>96通量的采用</w:t>
            </w:r>
            <w:r>
              <w:rPr>
                <w:rFonts w:hint="eastAsia" w:ascii="宋体" w:hAnsi="宋体" w:eastAsia="宋体" w:cs="宋体"/>
                <w:szCs w:val="21"/>
              </w:rPr>
              <w:t>圆周转盘式设计</w:t>
            </w:r>
            <w:r>
              <w:rPr>
                <w:rFonts w:hint="eastAsia" w:ascii="宋体" w:hAnsi="宋体" w:eastAsia="宋体" w:cs="宋体"/>
                <w:szCs w:val="21"/>
                <w:lang w:eastAsia="zh-CN"/>
              </w:rPr>
              <w:t>，</w:t>
            </w:r>
            <w:r>
              <w:rPr>
                <w:rFonts w:hint="eastAsia" w:ascii="宋体" w:hAnsi="宋体" w:eastAsia="宋体" w:cs="宋体"/>
                <w:szCs w:val="21"/>
                <w:lang w:val="en-US" w:eastAsia="zh-CN"/>
              </w:rPr>
              <w:t>32通量的采用抽屉式进样设计</w:t>
            </w: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宋体" w:hAnsi="宋体" w:eastAsia="宋体" w:cs="宋体"/>
                <w:szCs w:val="21"/>
              </w:rPr>
              <w:t>▲6、</w:t>
            </w:r>
            <w:r>
              <w:rPr>
                <w:rFonts w:hint="eastAsia" w:ascii="宋体" w:hAnsi="宋体" w:eastAsia="宋体" w:cs="宋体"/>
                <w:szCs w:val="21"/>
                <w:lang w:val="en-US" w:eastAsia="zh-CN"/>
              </w:rPr>
              <w:t>程序</w:t>
            </w:r>
            <w:r>
              <w:rPr>
                <w:rFonts w:hint="eastAsia" w:ascii="宋体" w:hAnsi="宋体" w:eastAsia="宋体" w:cs="宋体"/>
                <w:szCs w:val="21"/>
              </w:rPr>
              <w:t>安全：软件拥有加密功能，防止恶意篡改程序或误删程序。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7、提纯灵敏度：100拷贝样</w:t>
            </w:r>
            <w:r>
              <w:rPr>
                <w:rFonts w:hint="eastAsia" w:ascii="宋体" w:hAnsi="宋体" w:eastAsia="宋体" w:cs="宋体"/>
                <w:szCs w:val="21"/>
                <w:lang w:val="en-US" w:eastAsia="zh-CN"/>
              </w:rPr>
              <w:t>本</w:t>
            </w:r>
            <w:r>
              <w:rPr>
                <w:rFonts w:hint="eastAsia" w:ascii="宋体" w:hAnsi="宋体" w:eastAsia="宋体" w:cs="宋体"/>
                <w:szCs w:val="21"/>
              </w:rPr>
              <w:t>的阳性检出率＞95%。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8、提纯孔间差：CV＜5%。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9、磁珠回收率：＞95%。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10、裂解温度：室温-120℃。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11、洗脱温度：室温-120℃。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▲12、震荡混合：10档速度可调，多种混合方式。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Theme="minorEastAsia" w:hAnsiTheme="minorEastAsia" w:eastAsiaTheme="minorEastAsia"/>
                <w:b w:val="0"/>
                <w:bCs w:val="0"/>
                <w:szCs w:val="21"/>
              </w:rPr>
              <w:t>13、操作界面：</w:t>
            </w:r>
            <w:r>
              <w:rPr>
                <w:rFonts w:hint="eastAsia"/>
                <w:lang w:eastAsia="zh-CN"/>
              </w:rPr>
              <w:t>≥</w:t>
            </w:r>
            <w:r>
              <w:rPr>
                <w:rFonts w:hint="eastAsia" w:asciiTheme="minorEastAsia" w:hAnsiTheme="minorEastAsia" w:eastAsiaTheme="minorEastAsia"/>
                <w:b w:val="0"/>
                <w:bCs w:val="0"/>
                <w:szCs w:val="21"/>
              </w:rPr>
              <w:t>7寸彩色大触摸屏，</w:t>
            </w:r>
            <w:r>
              <w:rPr>
                <w:rFonts w:hint="eastAsia"/>
                <w:lang w:eastAsia="zh-CN"/>
              </w:rPr>
              <w:t>≥</w:t>
            </w:r>
            <w:r>
              <w:rPr>
                <w:rFonts w:hint="eastAsia" w:asciiTheme="minorEastAsia" w:hAnsiTheme="minorEastAsia" w:eastAsiaTheme="minorEastAsia"/>
                <w:b w:val="0"/>
                <w:bCs w:val="0"/>
                <w:szCs w:val="21"/>
              </w:rPr>
              <w:t>3个快捷按键、外接鼠标。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14、内部程序：机器预设8组程序，可储存</w:t>
            </w:r>
            <w:r>
              <w:rPr>
                <w:rFonts w:hint="eastAsia"/>
                <w:lang w:eastAsia="zh-CN"/>
              </w:rPr>
              <w:t>≥</w:t>
            </w:r>
            <w:r>
              <w:rPr>
                <w:rFonts w:hint="eastAsia" w:ascii="宋体" w:hAnsi="宋体" w:eastAsia="宋体" w:cs="宋体"/>
                <w:szCs w:val="21"/>
              </w:rPr>
              <w:t>100组程序。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rPr>
              <w:t>1</w:t>
            </w:r>
            <w:r>
              <w:rPr>
                <w:rFonts w:hint="eastAsia" w:ascii="宋体" w:hAnsi="宋体" w:eastAsia="宋体" w:cs="宋体"/>
                <w:szCs w:val="21"/>
                <w:lang w:val="en-US" w:eastAsia="zh-CN"/>
              </w:rPr>
              <w:t>5</w:t>
            </w:r>
            <w:r>
              <w:rPr>
                <w:rFonts w:hint="eastAsia" w:ascii="宋体" w:hAnsi="宋体" w:eastAsia="宋体" w:cs="宋体"/>
                <w:szCs w:val="21"/>
              </w:rPr>
              <w:t>、仪器扩展接口：标准USB，以太网口，无线wifi。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cs="宋体"/>
                <w:szCs w:val="21"/>
                <w:lang w:val="en-US" w:eastAsia="zh-CN"/>
              </w:rPr>
              <w:t>1</w:t>
            </w:r>
            <w:r>
              <w:rPr>
                <w:rFonts w:hint="eastAsia" w:ascii="宋体" w:hAnsi="宋体" w:eastAsia="宋体" w:cs="宋体"/>
                <w:szCs w:val="21"/>
                <w:lang w:val="en-US" w:eastAsia="zh-CN"/>
              </w:rPr>
              <w:t>6</w:t>
            </w:r>
            <w:r>
              <w:rPr>
                <w:rFonts w:hint="eastAsia" w:ascii="宋体" w:hAnsi="宋体" w:eastAsia="宋体" w:cs="宋体"/>
                <w:szCs w:val="21"/>
              </w:rPr>
              <w:t>、照明系统：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lang w:val="en-US" w:eastAsia="zh-CN"/>
              </w:rPr>
              <w:t>17</w:t>
            </w:r>
            <w:r>
              <w:rPr>
                <w:rFonts w:hint="eastAsia" w:ascii="宋体" w:hAnsi="宋体" w:eastAsia="宋体" w:cs="宋体"/>
                <w:szCs w:val="21"/>
              </w:rPr>
              <w:t>、</w:t>
            </w:r>
            <w:r>
              <w:rPr>
                <w:rFonts w:hint="eastAsia" w:ascii="宋体" w:hAnsi="宋体" w:eastAsia="宋体" w:cs="宋体"/>
                <w:szCs w:val="21"/>
                <w:lang w:val="en-US" w:eastAsia="zh-CN"/>
              </w:rPr>
              <w:t>净化</w:t>
            </w:r>
            <w:r>
              <w:rPr>
                <w:rFonts w:hint="eastAsia" w:ascii="宋体" w:hAnsi="宋体" w:eastAsia="宋体" w:cs="宋体"/>
                <w:szCs w:val="21"/>
              </w:rPr>
              <w:t>消毒：</w:t>
            </w:r>
            <w:r>
              <w:rPr>
                <w:rFonts w:hint="eastAsia" w:ascii="宋体" w:hAnsi="宋体" w:eastAsia="宋体" w:cs="宋体"/>
                <w:szCs w:val="21"/>
                <w:lang w:val="en-US" w:eastAsia="zh-CN"/>
              </w:rPr>
              <w:t>风扇排气，</w:t>
            </w:r>
            <w:r>
              <w:rPr>
                <w:rFonts w:hint="eastAsia" w:ascii="宋体" w:hAnsi="宋体" w:eastAsia="宋体" w:cs="宋体"/>
                <w:szCs w:val="21"/>
              </w:rPr>
              <w:t>紫外消毒。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Cs w:val="21"/>
                <w:lang w:val="en-US" w:eastAsia="zh-CN"/>
              </w:rPr>
              <w:t>18</w:t>
            </w:r>
            <w:r>
              <w:rPr>
                <w:rFonts w:hint="eastAsia" w:ascii="宋体" w:hAnsi="宋体" w:eastAsia="宋体" w:cs="宋体"/>
                <w:szCs w:val="21"/>
              </w:rPr>
              <w:t>、数据存储：可存储，内置SD卡。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default" w:asciiTheme="minorEastAsia" w:hAnsiTheme="minorEastAsia" w:eastAsiaTheme="minorEastAsia"/>
                <w:b w:val="0"/>
                <w:bCs w:val="0"/>
                <w:szCs w:val="21"/>
                <w:lang w:val="en-US" w:eastAsia="zh-CN"/>
              </w:rPr>
            </w:pPr>
            <w:r>
              <w:rPr>
                <w:rFonts w:hint="eastAsia" w:asciiTheme="minorEastAsia" w:hAnsiTheme="minorEastAsia" w:eastAsiaTheme="minorEastAsia"/>
                <w:b w:val="0"/>
                <w:bCs w:val="0"/>
                <w:szCs w:val="21"/>
                <w:lang w:val="en-US" w:eastAsia="zh-CN"/>
              </w:rPr>
              <w:t>19、配置要求：</w:t>
            </w:r>
            <w:r>
              <w:rPr>
                <w:rFonts w:hint="eastAsia" w:ascii="宋体" w:hAnsi="宋体" w:eastAsia="宋体" w:cs="宋体"/>
                <w:szCs w:val="21"/>
              </w:rPr>
              <w:t>核酸提取仪2</w:t>
            </w:r>
            <w:r>
              <w:rPr>
                <w:rFonts w:hint="eastAsia" w:ascii="宋体" w:hAnsi="宋体" w:eastAsia="宋体" w:cs="宋体"/>
                <w:szCs w:val="21"/>
                <w:lang w:val="en-US" w:eastAsia="zh-CN"/>
              </w:rPr>
              <w:t>套</w:t>
            </w:r>
            <w:r>
              <w:rPr>
                <w:rFonts w:hint="eastAsia" w:ascii="宋体" w:hAnsi="宋体" w:eastAsia="宋体" w:cs="宋体"/>
                <w:szCs w:val="21"/>
              </w:rPr>
              <w:t>。</w:t>
            </w:r>
          </w:p>
        </w:tc>
      </w:tr>
    </w:tbl>
    <w:p>
      <w:pPr>
        <w:spacing w:line="360" w:lineRule="auto"/>
        <w:rPr>
          <w:rFonts w:hint="eastAsia"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w:t>
            </w:r>
            <w:r>
              <w:rPr>
                <w:rFonts w:hint="eastAsia" w:asciiTheme="minorEastAsia" w:hAnsiTheme="minorEastAsia" w:eastAsiaTheme="minorEastAsia"/>
                <w:b/>
                <w:kern w:val="0"/>
                <w:szCs w:val="21"/>
                <w:highlight w:val="yellow"/>
                <w:lang w:eastAsia="zh-CN"/>
              </w:rPr>
              <w:t>不少于</w:t>
            </w:r>
            <w:r>
              <w:rPr>
                <w:rFonts w:hint="eastAsia" w:asciiTheme="minorEastAsia" w:hAnsiTheme="minorEastAsia" w:eastAsiaTheme="minorEastAsia"/>
                <w:b/>
                <w:kern w:val="0"/>
                <w:szCs w:val="21"/>
                <w:highlight w:val="yellow"/>
                <w:u w:val="single"/>
                <w:lang w:val="en-US" w:eastAsia="zh-CN"/>
              </w:rPr>
              <w:t xml:space="preserve"> </w:t>
            </w:r>
            <w:r>
              <w:rPr>
                <w:rFonts w:hint="eastAsia" w:asciiTheme="minorEastAsia" w:hAnsiTheme="minorEastAsia" w:eastAsiaTheme="minorEastAsia"/>
                <w:b/>
                <w:bCs/>
                <w:kern w:val="0"/>
                <w:szCs w:val="21"/>
                <w:highlight w:val="yellow"/>
                <w:u w:val="single"/>
                <w:lang w:val="en-US" w:eastAsia="zh-CN"/>
              </w:rPr>
              <w:t xml:space="preserve">3 </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u w:val="single"/>
                <w:lang w:val="en-US" w:eastAsia="zh-CN"/>
              </w:rPr>
              <w:t xml:space="preserve">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u w:val="single"/>
                <w:lang w:val="en-US" w:eastAsia="zh-CN"/>
              </w:rPr>
              <w:t xml:space="preserve">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lang w:val="en-US" w:eastAsia="zh-CN"/>
              </w:rPr>
              <w:t xml:space="preserve"> 60 </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tabs>
                <w:tab w:val="left" w:pos="1260"/>
              </w:tabs>
              <w:spacing w:line="360" w:lineRule="auto"/>
              <w:rPr>
                <w:rFonts w:asciiTheme="minorEastAsia" w:hAnsiTheme="minorEastAsia" w:eastAsiaTheme="minorEastAsia"/>
                <w:bCs/>
                <w:szCs w:val="21"/>
              </w:rPr>
            </w:pPr>
            <w:r>
              <w:rPr>
                <w:rFonts w:hint="eastAsia" w:ascii="宋体" w:hAnsi="宋体" w:eastAsia="宋体" w:cs="宋体"/>
                <w:kern w:val="0"/>
                <w:sz w:val="21"/>
                <w:szCs w:val="21"/>
              </w:rPr>
              <w:t>5.1</w:t>
            </w:r>
            <w:r>
              <w:rPr>
                <w:rFonts w:hint="eastAsia" w:ascii="宋体" w:hAnsi="宋体" w:eastAsia="宋体" w:cs="宋体"/>
                <w:color w:val="auto"/>
                <w:sz w:val="21"/>
                <w:szCs w:val="21"/>
                <w:highlight w:val="none"/>
                <w:u w:val="none"/>
              </w:rPr>
              <w:t>货到安装调试验收合格后，乙方提交验收单、国家规定的全额正式发票（国内销售的进口设备还应提供相关的进口环节资料复印件</w:t>
            </w:r>
            <w:r>
              <w:rPr>
                <w:rFonts w:hint="eastAsia" w:ascii="宋体" w:hAnsi="宋体" w:eastAsia="宋体" w:cs="宋体"/>
                <w:color w:val="auto"/>
                <w:sz w:val="21"/>
                <w:szCs w:val="21"/>
                <w:highlight w:val="none"/>
                <w:u w:val="none"/>
                <w:lang w:eastAsia="zh-CN"/>
              </w:rPr>
              <w:t>并加盖乙方公章</w:t>
            </w:r>
            <w:r>
              <w:rPr>
                <w:rFonts w:hint="eastAsia" w:ascii="宋体" w:hAnsi="宋体" w:eastAsia="宋体" w:cs="宋体"/>
                <w:color w:val="auto"/>
                <w:sz w:val="21"/>
                <w:szCs w:val="21"/>
                <w:highlight w:val="none"/>
                <w:u w:val="none"/>
              </w:rPr>
              <w:t>），乙方先</w:t>
            </w:r>
            <w:r>
              <w:rPr>
                <w:rFonts w:hint="eastAsia" w:ascii="宋体" w:hAnsi="宋体" w:eastAsia="宋体" w:cs="宋体"/>
                <w:color w:val="auto"/>
                <w:sz w:val="21"/>
                <w:szCs w:val="21"/>
                <w:highlight w:val="none"/>
                <w:u w:val="none"/>
                <w:lang w:eastAsia="zh-CN"/>
              </w:rPr>
              <w:t>以银行保函形式提交</w:t>
            </w:r>
            <w:r>
              <w:rPr>
                <w:rFonts w:hint="eastAsia" w:ascii="宋体" w:hAnsi="宋体" w:eastAsia="宋体" w:cs="宋体"/>
                <w:color w:val="auto"/>
                <w:sz w:val="21"/>
                <w:szCs w:val="21"/>
                <w:highlight w:val="none"/>
                <w:u w:val="none"/>
              </w:rPr>
              <w:t>合同总价5%</w:t>
            </w:r>
            <w:r>
              <w:rPr>
                <w:rFonts w:hint="eastAsia" w:ascii="宋体" w:hAnsi="宋体" w:eastAsia="宋体" w:cs="宋体"/>
                <w:color w:val="auto"/>
                <w:sz w:val="21"/>
                <w:szCs w:val="21"/>
                <w:highlight w:val="none"/>
                <w:u w:val="none"/>
                <w:lang w:val="en-US" w:eastAsia="zh-CN"/>
              </w:rPr>
              <w:t>的</w:t>
            </w:r>
            <w:r>
              <w:rPr>
                <w:rFonts w:hint="eastAsia" w:ascii="宋体" w:hAnsi="宋体" w:eastAsia="宋体" w:cs="宋体"/>
                <w:color w:val="auto"/>
                <w:sz w:val="21"/>
                <w:szCs w:val="21"/>
                <w:highlight w:val="none"/>
                <w:u w:val="none"/>
              </w:rPr>
              <w:t>履约保证金（该保证金不计利息），甲方应于</w:t>
            </w:r>
            <w:r>
              <w:rPr>
                <w:rFonts w:hint="eastAsia" w:ascii="宋体" w:hAnsi="宋体" w:eastAsia="宋体" w:cs="宋体"/>
                <w:color w:val="auto"/>
                <w:sz w:val="21"/>
                <w:szCs w:val="21"/>
                <w:highlight w:val="none"/>
                <w:u w:val="none"/>
                <w:lang w:val="en-US" w:eastAsia="zh-CN"/>
              </w:rPr>
              <w:t>收到银行保函之日起</w:t>
            </w:r>
            <w:r>
              <w:rPr>
                <w:rFonts w:hint="eastAsia" w:ascii="宋体" w:hAnsi="宋体" w:eastAsia="宋体" w:cs="宋体"/>
                <w:color w:val="auto"/>
                <w:sz w:val="21"/>
                <w:szCs w:val="21"/>
                <w:highlight w:val="none"/>
                <w:u w:val="none"/>
              </w:rPr>
              <w:t>一个月内支付中标金额的100%货款</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自验收合格之日起，设备正常使用一年并由使用部门确认无质量问题后</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一个月内</w:t>
            </w:r>
            <w:r>
              <w:rPr>
                <w:rFonts w:hint="eastAsia" w:ascii="宋体" w:hAnsi="宋体" w:eastAsia="宋体" w:cs="宋体"/>
                <w:color w:val="auto"/>
                <w:sz w:val="21"/>
                <w:szCs w:val="21"/>
                <w:highlight w:val="none"/>
                <w:u w:val="none"/>
                <w:lang w:eastAsia="zh-CN"/>
              </w:rPr>
              <w:t>按原方式</w:t>
            </w:r>
            <w:r>
              <w:rPr>
                <w:rFonts w:hint="eastAsia" w:ascii="宋体" w:hAnsi="宋体" w:eastAsia="宋体" w:cs="宋体"/>
                <w:color w:val="auto"/>
                <w:sz w:val="21"/>
                <w:szCs w:val="21"/>
                <w:highlight w:val="none"/>
                <w:u w:val="none"/>
              </w:rPr>
              <w:t>退回保证金</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具体以银行保函载明的内容为准</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hint="eastAsia" w:asciiTheme="minorEastAsia" w:hAnsiTheme="minorEastAsia" w:eastAsiaTheme="minorEastAsia"/>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3"/>
      </w:pPr>
      <w:bookmarkStart w:id="2" w:name="_Toc11041028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10410288"/>
      <w:r>
        <w:rPr>
          <w:rFonts w:hint="eastAsia"/>
        </w:rPr>
        <w:t>第四章  评标方法和标准</w:t>
      </w:r>
      <w:bookmarkEnd w:id="3"/>
    </w:p>
    <w:p>
      <w:pPr>
        <w:pStyle w:val="4"/>
        <w:spacing w:before="0" w:after="0"/>
      </w:pPr>
      <w:bookmarkStart w:id="4" w:name="_Toc44690702"/>
      <w:bookmarkStart w:id="5" w:name="_Toc44691161"/>
      <w:bookmarkStart w:id="6" w:name="_Toc44690429"/>
      <w:bookmarkStart w:id="7" w:name="_Toc110410289"/>
      <w:bookmarkStart w:id="8" w:name="_Toc4469139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29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45</w:t>
            </w:r>
            <w:r>
              <w:rPr>
                <w:rFonts w:hint="eastAsia" w:ascii="宋体" w:hAnsi="宋体" w:cs="仿宋"/>
                <w:szCs w:val="21"/>
              </w:rPr>
              <w:t>分；“▲”参数为重要指标，每负偏离一项扣</w:t>
            </w:r>
            <w:r>
              <w:rPr>
                <w:rFonts w:hint="eastAsia" w:ascii="宋体" w:hAnsi="宋体" w:cs="仿宋"/>
                <w:szCs w:val="21"/>
                <w:lang w:val="en-US" w:eastAsia="zh-CN"/>
              </w:rPr>
              <w:t>4</w:t>
            </w:r>
            <w:r>
              <w:rPr>
                <w:rFonts w:hint="eastAsia" w:ascii="宋体" w:hAnsi="宋体" w:cs="仿宋"/>
                <w:szCs w:val="21"/>
              </w:rPr>
              <w:t>分；其余指标每负偏离一项扣</w:t>
            </w:r>
            <w:r>
              <w:rPr>
                <w:rFonts w:hint="eastAsia" w:ascii="宋体" w:hAnsi="宋体" w:cs="仿宋"/>
                <w:szCs w:val="21"/>
                <w:lang w:val="en-US" w:eastAsia="zh-CN"/>
              </w:rPr>
              <w:t>2</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w:t>
            </w:r>
            <w:r>
              <w:rPr>
                <w:rFonts w:hint="eastAsia" w:ascii="宋体" w:hAnsi="宋体" w:cs="仿宋"/>
                <w:szCs w:val="21"/>
                <w:lang w:val="en-US" w:eastAsia="zh-CN"/>
              </w:rPr>
              <w:t>3</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免费保修期内售后服务条款偏离情况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投标人应如实填写《商务条款偏离表》，评审委员会根据其中免费保修期内售后服务条款响应情况进行打分。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（1）免费保修期在满足招标要求的基础上，每增加一年得1分，最高得</w:t>
            </w:r>
            <w:r>
              <w:rPr>
                <w:rFonts w:hint="eastAsia" w:ascii="宋体" w:hAnsi="宋体" w:cs="仿宋"/>
                <w:szCs w:val="21"/>
                <w:lang w:val="en-US" w:eastAsia="zh-CN"/>
              </w:rPr>
              <w:t>3</w:t>
            </w:r>
            <w:r>
              <w:rPr>
                <w:rFonts w:hint="eastAsia" w:ascii="宋体" w:hAnsi="宋体" w:cs="仿宋"/>
                <w:szCs w:val="21"/>
              </w:rPr>
              <w:t>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w:t>
            </w:r>
            <w:r>
              <w:rPr>
                <w:rFonts w:hint="eastAsia" w:ascii="宋体" w:hAnsi="宋体" w:cs="仿宋"/>
                <w:szCs w:val="21"/>
                <w:lang w:val="en-US" w:eastAsia="zh-CN"/>
              </w:rPr>
              <w:t>2</w:t>
            </w:r>
            <w:r>
              <w:rPr>
                <w:rFonts w:hint="eastAsia" w:ascii="宋体" w:hAnsi="宋体" w:cs="仿宋"/>
                <w:szCs w:val="21"/>
              </w:rPr>
              <w:t>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以上累计满分为5分。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免费保修期外售后服务条款偏离情况</w:t>
            </w:r>
          </w:p>
        </w:tc>
        <w:tc>
          <w:tcPr>
            <w:tcW w:w="709" w:type="dxa"/>
            <w:vAlign w:val="center"/>
          </w:tcPr>
          <w:p>
            <w:pPr>
              <w:widowControl/>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8</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投标人应如实填写《商务条款偏离表》，评审委员会根据其中免费保修期外售后服务条款响应情况进行打分。全部满足要求的得</w:t>
            </w:r>
            <w:r>
              <w:rPr>
                <w:rFonts w:hint="eastAsia" w:ascii="宋体" w:hAnsi="宋体" w:cs="宋体"/>
                <w:kern w:val="0"/>
                <w:szCs w:val="21"/>
                <w:lang w:val="en-US" w:eastAsia="zh-CN"/>
              </w:rPr>
              <w:t>8</w:t>
            </w:r>
            <w:r>
              <w:rPr>
                <w:rFonts w:hint="eastAsia" w:ascii="宋体" w:hAnsi="宋体" w:cs="宋体"/>
                <w:kern w:val="0"/>
                <w:szCs w:val="21"/>
              </w:rPr>
              <w:t>分，</w:t>
            </w:r>
            <w:r>
              <w:rPr>
                <w:rFonts w:hint="eastAsia" w:ascii="宋体" w:hAnsi="宋体" w:cs="宋体"/>
                <w:szCs w:val="21"/>
              </w:rPr>
              <w:t>每1小项负偏离</w:t>
            </w:r>
            <w:r>
              <w:rPr>
                <w:rFonts w:hint="eastAsia" w:ascii="宋体" w:hAnsi="宋体" w:cs="宋体"/>
                <w:kern w:val="0"/>
                <w:szCs w:val="21"/>
              </w:rPr>
              <w:t>扣</w:t>
            </w:r>
            <w:r>
              <w:rPr>
                <w:rFonts w:hint="eastAsia" w:ascii="宋体" w:hAnsi="宋体" w:cs="宋体"/>
                <w:kern w:val="0"/>
                <w:szCs w:val="21"/>
                <w:lang w:val="en-US" w:eastAsia="zh-CN"/>
              </w:rPr>
              <w:t>2</w:t>
            </w:r>
            <w:r>
              <w:rPr>
                <w:rFonts w:hint="eastAsia" w:ascii="宋体" w:hAnsi="宋体" w:cs="宋体"/>
                <w:kern w:val="0"/>
                <w:szCs w:val="21"/>
              </w:rPr>
              <w:t>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rPr>
              <w:t>其他商务条款偏离情况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widowControl/>
              <w:spacing w:line="360" w:lineRule="exact"/>
              <w:rPr>
                <w:rFonts w:ascii="宋体" w:hAnsi="宋体" w:cs="仿宋"/>
                <w:szCs w:val="21"/>
              </w:rPr>
            </w:pPr>
            <w:r>
              <w:rPr>
                <w:rFonts w:hint="eastAsia" w:ascii="宋体" w:hAnsi="宋体" w:cs="仿宋"/>
                <w:szCs w:val="21"/>
              </w:rPr>
              <w:t>投标人应如实填写《商务条款偏离表》，评审委员会根据其中其他商务条款响应情况进行打分。全部满足要求的得2分，</w:t>
            </w:r>
            <w:r>
              <w:rPr>
                <w:rFonts w:hint="eastAsia" w:ascii="宋体" w:hAnsi="宋体" w:cs="宋体"/>
                <w:szCs w:val="21"/>
              </w:rPr>
              <w:t>每1小项负偏离</w:t>
            </w:r>
            <w:r>
              <w:rPr>
                <w:rFonts w:hint="eastAsia" w:ascii="宋体" w:hAnsi="宋体" w:cs="仿宋"/>
                <w:szCs w:val="21"/>
              </w:rPr>
              <w:t>扣</w:t>
            </w:r>
            <w:r>
              <w:rPr>
                <w:rFonts w:ascii="宋体" w:hAnsi="宋体" w:cs="仿宋"/>
                <w:szCs w:val="21"/>
              </w:rPr>
              <w:t>1</w:t>
            </w:r>
            <w:r>
              <w:rPr>
                <w:rFonts w:hint="eastAsia" w:ascii="宋体" w:hAnsi="宋体" w:cs="仿宋"/>
                <w:szCs w:val="21"/>
              </w:rPr>
              <w:t>分，最低得0分。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4</w:t>
            </w:r>
          </w:p>
        </w:tc>
        <w:tc>
          <w:tcPr>
            <w:tcW w:w="1143" w:type="dxa"/>
            <w:vAlign w:val="center"/>
          </w:tcPr>
          <w:p>
            <w:pPr>
              <w:spacing w:line="360" w:lineRule="exact"/>
              <w:jc w:val="center"/>
              <w:rPr>
                <w:rFonts w:hint="eastAsia" w:ascii="宋体" w:hAnsi="宋体" w:eastAsia="宋体" w:cs="仿宋"/>
                <w:szCs w:val="21"/>
                <w:lang w:eastAsia="zh-CN"/>
              </w:rPr>
            </w:pPr>
            <w:r>
              <w:rPr>
                <w:rFonts w:hint="eastAsia" w:ascii="宋体" w:hAnsi="宋体"/>
                <w:szCs w:val="21"/>
              </w:rPr>
              <w:t>履约</w:t>
            </w:r>
            <w:r>
              <w:rPr>
                <w:rFonts w:hint="eastAsia" w:ascii="宋体" w:hAnsi="宋体"/>
                <w:szCs w:val="21"/>
                <w:lang w:eastAsia="zh-CN"/>
              </w:rPr>
              <w:t>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hint="eastAsia" w:ascii="宋体" w:hAnsi="宋体" w:cs="宋体"/>
                <w:szCs w:val="21"/>
              </w:rPr>
            </w:pPr>
            <w:r>
              <w:rPr>
                <w:rFonts w:hint="eastAsia" w:ascii="宋体" w:hAnsi="宋体" w:cs="宋体"/>
                <w:szCs w:val="21"/>
              </w:rPr>
              <w:t>投标人</w:t>
            </w:r>
            <w:r>
              <w:rPr>
                <w:rFonts w:hint="eastAsia" w:ascii="宋体" w:hAnsi="宋体"/>
                <w:szCs w:val="21"/>
              </w:rPr>
              <w:t>承诺</w:t>
            </w:r>
            <w:r>
              <w:rPr>
                <w:rFonts w:hint="eastAsia" w:ascii="宋体" w:hAnsi="宋体" w:cs="宋体"/>
                <w:szCs w:val="21"/>
              </w:rPr>
              <w:t>近三年（2019年</w:t>
            </w:r>
            <w:r>
              <w:rPr>
                <w:rFonts w:hint="eastAsia" w:ascii="宋体" w:hAnsi="宋体" w:cs="宋体"/>
                <w:szCs w:val="21"/>
                <w:lang w:val="en-US" w:eastAsia="zh-CN"/>
              </w:rPr>
              <w:t>11</w:t>
            </w:r>
            <w:r>
              <w:rPr>
                <w:rFonts w:hint="eastAsia" w:ascii="宋体" w:hAnsi="宋体" w:cs="宋体"/>
                <w:szCs w:val="21"/>
              </w:rPr>
              <w:t>月1日至本项目投标截止日）</w:t>
            </w:r>
            <w:r>
              <w:rPr>
                <w:rFonts w:hint="eastAsia"/>
              </w:rPr>
              <w:t>在政府采购活动中</w:t>
            </w:r>
            <w:r>
              <w:rPr>
                <w:rFonts w:hint="eastAsia" w:ascii="宋体" w:hAnsi="宋体" w:cs="宋体"/>
                <w:szCs w:val="21"/>
                <w:lang w:val="en-US" w:eastAsia="zh-CN"/>
              </w:rPr>
              <w:t>没有</w:t>
            </w:r>
            <w:r>
              <w:rPr>
                <w:rFonts w:hint="eastAsia" w:ascii="宋体" w:hAnsi="宋体" w:cs="宋体"/>
                <w:szCs w:val="21"/>
              </w:rPr>
              <w:t>履约评价为差的记录</w:t>
            </w:r>
            <w:r>
              <w:rPr>
                <w:rFonts w:hint="eastAsia" w:ascii="宋体" w:hAnsi="宋体" w:cs="宋体"/>
                <w:szCs w:val="21"/>
                <w:lang w:val="en-US" w:eastAsia="zh-CN"/>
              </w:rPr>
              <w:t>的，</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lang w:val="en-US" w:eastAsia="zh-CN"/>
              </w:rPr>
              <w:t>否则不得分</w:t>
            </w:r>
            <w:r>
              <w:rPr>
                <w:rFonts w:hint="eastAsia" w:ascii="宋体" w:hAnsi="宋体" w:cs="宋体"/>
                <w:szCs w:val="21"/>
              </w:rPr>
              <w:t>。</w:t>
            </w:r>
          </w:p>
          <w:p>
            <w:pPr>
              <w:spacing w:line="360" w:lineRule="exact"/>
              <w:rPr>
                <w:rFonts w:hint="eastAsia" w:asciiTheme="minorEastAsia" w:hAnsiTheme="minorEastAsia" w:eastAsiaTheme="minorEastAsia"/>
                <w:szCs w:val="21"/>
              </w:rPr>
            </w:pPr>
          </w:p>
          <w:p>
            <w:pPr>
              <w:spacing w:line="360" w:lineRule="exact"/>
              <w:rPr>
                <w:rFonts w:asciiTheme="minorEastAsia" w:hAnsiTheme="minorEastAsia" w:eastAsiaTheme="minorEastAsia"/>
                <w:szCs w:val="21"/>
              </w:rPr>
            </w:pPr>
            <w:r>
              <w:rPr>
                <w:rFonts w:hint="eastAsia" w:ascii="宋体" w:hAnsi="宋体"/>
                <w:kern w:val="0"/>
                <w:szCs w:val="21"/>
              </w:rPr>
              <w:t>（二）评分依据：</w:t>
            </w:r>
          </w:p>
          <w:p>
            <w:pPr>
              <w:tabs>
                <w:tab w:val="left" w:pos="175"/>
              </w:tabs>
              <w:spacing w:line="360" w:lineRule="exact"/>
              <w:ind w:left="33"/>
              <w:jc w:val="left"/>
              <w:rPr>
                <w:rFonts w:ascii="宋体" w:hAnsi="宋体"/>
                <w:szCs w:val="21"/>
              </w:rPr>
            </w:pPr>
            <w:r>
              <w:rPr>
                <w:rFonts w:hint="eastAsia" w:ascii="宋体" w:hAnsi="宋体"/>
                <w:szCs w:val="21"/>
              </w:rPr>
              <w:t>投标人提供《</w:t>
            </w:r>
            <w:r>
              <w:rPr>
                <w:rFonts w:hint="eastAsia" w:ascii="宋体" w:hAnsi="宋体" w:cs="宋体"/>
                <w:szCs w:val="21"/>
              </w:rPr>
              <w:t>履约评价情况</w:t>
            </w:r>
            <w:r>
              <w:rPr>
                <w:rFonts w:hint="eastAsia" w:ascii="宋体" w:hAnsi="宋体"/>
                <w:szCs w:val="21"/>
              </w:rPr>
              <w:t>承诺函》（格式自拟）作为得分依据。如若投标人承诺与实际情况不相符，将按虚假应标报相关主管部门处理。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44690430"/>
      <w:bookmarkStart w:id="11" w:name="_Toc44691394"/>
      <w:bookmarkStart w:id="12" w:name="_Toc44690703"/>
      <w:bookmarkStart w:id="13" w:name="_Toc44691162"/>
      <w:bookmarkStart w:id="14" w:name="_Toc110410291"/>
      <w:r>
        <w:rPr>
          <w:rFonts w:hint="eastAsia" w:asciiTheme="minorEastAsia" w:hAnsiTheme="minorEastAsia"/>
          <w:bCs w:val="0"/>
          <w:sz w:val="21"/>
          <w:szCs w:val="21"/>
        </w:rPr>
        <w:t>备注：</w:t>
      </w:r>
      <w:bookmarkEnd w:id="10"/>
      <w:bookmarkEnd w:id="11"/>
      <w:bookmarkEnd w:id="12"/>
      <w:bookmarkEnd w:id="13"/>
      <w:bookmarkEnd w:id="14"/>
    </w:p>
    <w:p>
      <w:pPr>
        <w:pStyle w:val="2"/>
        <w:spacing w:before="0" w:after="0"/>
      </w:pPr>
      <w:bookmarkStart w:id="15" w:name="_Toc11041029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2"/>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1041029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核酸提取仪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snapToGrid w:val="0"/>
                <w:color w:val="auto"/>
                <w:sz w:val="21"/>
                <w:szCs w:val="21"/>
              </w:rPr>
              <w:t>深圳市中医院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25</w:t>
            </w:r>
            <w:r>
              <w:rPr>
                <w:rFonts w:hint="eastAsia" w:hAnsi="宋体"/>
                <w:b/>
                <w:snapToGrid w:val="0"/>
                <w:szCs w:val="18"/>
              </w:rPr>
              <w:t>日</w:t>
            </w:r>
            <w:r>
              <w:rPr>
                <w:rFonts w:hint="eastAsia" w:hAnsi="宋体"/>
                <w:b/>
                <w:snapToGrid w:val="0"/>
                <w:szCs w:val="18"/>
                <w:lang w:val="en-US" w:eastAsia="zh-CN"/>
              </w:rPr>
              <w:t>15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25</w:t>
            </w:r>
            <w:r>
              <w:rPr>
                <w:rFonts w:hint="eastAsia" w:hAnsi="宋体"/>
                <w:b/>
                <w:snapToGrid w:val="0"/>
                <w:szCs w:val="18"/>
              </w:rPr>
              <w:t>日</w:t>
            </w:r>
            <w:r>
              <w:rPr>
                <w:rFonts w:hint="eastAsia" w:hAnsi="宋体"/>
                <w:b/>
                <w:snapToGrid w:val="0"/>
                <w:szCs w:val="18"/>
                <w:lang w:val="en-US" w:eastAsia="zh-CN"/>
              </w:rPr>
              <w:t>15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3"/>
      </w:pPr>
      <w:bookmarkStart w:id="18" w:name="_Toc110410295"/>
      <w:r>
        <w:rPr>
          <w:rFonts w:hint="eastAsia"/>
        </w:rPr>
        <w:t>第六章  投标人须知</w:t>
      </w:r>
      <w:bookmarkEnd w:id="18"/>
    </w:p>
    <w:p>
      <w:pPr>
        <w:pStyle w:val="4"/>
        <w:spacing w:before="0" w:after="0"/>
      </w:pPr>
      <w:bookmarkStart w:id="19" w:name="_Toc11041029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1041029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1041029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1041029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1041030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1041030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1041030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3"/>
      </w:pPr>
      <w:bookmarkStart w:id="34" w:name="_Toc110410303"/>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31468"/>
      <w:bookmarkStart w:id="36" w:name="_Toc14934"/>
      <w:bookmarkStart w:id="37" w:name="_Toc110410304"/>
      <w:bookmarkStart w:id="38" w:name="_Toc44691395"/>
      <w:bookmarkStart w:id="39" w:name="_Toc44690431"/>
      <w:bookmarkStart w:id="40" w:name="_Toc44690704"/>
      <w:bookmarkStart w:id="41" w:name="_Toc25194"/>
      <w:bookmarkStart w:id="42" w:name="_Toc11772"/>
      <w:bookmarkStart w:id="43" w:name="_Toc44691163"/>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10410305"/>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10410306"/>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4"/>
        <w:spacing w:line="400" w:lineRule="exact"/>
        <w:rPr>
          <w:rFonts w:ascii="仿宋" w:hAnsi="仿宋" w:eastAsia="仿宋"/>
        </w:rPr>
      </w:pPr>
      <w:bookmarkStart w:id="50" w:name="_Toc110410307"/>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2"/>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1164"/>
      <w:bookmarkStart w:id="52" w:name="_Toc44690432"/>
      <w:bookmarkStart w:id="53" w:name="_Toc44691396"/>
      <w:bookmarkStart w:id="54" w:name="_Toc44690705"/>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397"/>
      <w:bookmarkStart w:id="57" w:name="_Toc44691165"/>
      <w:bookmarkStart w:id="58" w:name="_Toc44690706"/>
      <w:bookmarkStart w:id="59" w:name="_Toc44690433"/>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核酸提取仪</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434"/>
      <w:bookmarkStart w:id="61" w:name="_Toc44691398"/>
      <w:bookmarkStart w:id="62" w:name="_Toc44690707"/>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1167"/>
      <w:bookmarkStart w:id="65" w:name="_Toc44690435"/>
      <w:bookmarkStart w:id="66" w:name="_Toc44690708"/>
      <w:bookmarkStart w:id="67" w:name="_Toc44691399"/>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2"/>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0709"/>
      <w:bookmarkStart w:id="69" w:name="_Toc44690436"/>
      <w:bookmarkStart w:id="70" w:name="_Toc44691168"/>
      <w:bookmarkStart w:id="71"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2__投标保证金凭证"/>
      <w:bookmarkEnd w:id="72"/>
      <w:bookmarkStart w:id="73" w:name="q17"/>
      <w:bookmarkEnd w:id="73"/>
      <w:bookmarkStart w:id="74" w:name="q16"/>
      <w:bookmarkEnd w:id="74"/>
      <w:bookmarkStart w:id="75" w:name="_格式4__"/>
      <w:bookmarkEnd w:id="75"/>
      <w:bookmarkStart w:id="76" w:name="_格式5__"/>
      <w:bookmarkEnd w:id="76"/>
      <w:bookmarkStart w:id="77" w:name="_格式3__"/>
      <w:bookmarkEnd w:id="77"/>
      <w:bookmarkStart w:id="78" w:name="q15"/>
      <w:bookmarkEnd w:id="78"/>
      <w:r>
        <w:rPr>
          <w:rFonts w:asciiTheme="minorEastAsia" w:hAnsiTheme="minorEastAsia" w:eastAsiaTheme="minorEastAsia"/>
          <w:sz w:val="24"/>
        </w:rPr>
        <w:tab/>
      </w:r>
      <w:bookmarkStart w:id="79" w:name="_Toc44691169"/>
      <w:bookmarkStart w:id="80" w:name="_Toc44691401"/>
      <w:bookmarkStart w:id="81" w:name="_Toc44690437"/>
      <w:bookmarkStart w:id="82" w:name="_Toc44690710"/>
      <w:r>
        <w:rPr>
          <w:rFonts w:hint="eastAsia" w:asciiTheme="minorEastAsia" w:hAnsiTheme="minorEastAsia" w:eastAsiaTheme="minorEastAsia"/>
          <w:sz w:val="24"/>
        </w:rPr>
        <w:t>格式10  投标人情况介绍</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3" w:name="_格式7__投标人资格声明"/>
      <w:bookmarkEnd w:id="83"/>
      <w:bookmarkStart w:id="84"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10410308"/>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10410309"/>
      <w:r>
        <w:rPr>
          <w:rFonts w:hint="eastAsia"/>
        </w:rPr>
        <w:t>第九章  附件</w:t>
      </w:r>
      <w:bookmarkEnd w:id="86"/>
    </w:p>
    <w:p>
      <w:pPr>
        <w:pStyle w:val="4"/>
        <w:spacing w:before="0" w:after="0"/>
      </w:pPr>
      <w:bookmarkStart w:id="87" w:name="_Toc110410310"/>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8" w:name="_Toc110410311"/>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89" w:name="_Toc110410312"/>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0" w:name="_Toc110410313"/>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hint="eastAsia" w:asciiTheme="minorEastAsia" w:hAnsiTheme="minorEastAsia" w:eastAsiaTheme="minorEastAsia"/>
        <w:lang w:eastAsia="zh-CN"/>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核酸提取仪</w:t>
    </w:r>
    <w:r>
      <w:rPr>
        <w:rFonts w:hint="eastAsia" w:asciiTheme="minorEastAsia" w:hAnsiTheme="minorEastAsia" w:eastAsiaTheme="minorEastAsia"/>
      </w:rPr>
      <w:t xml:space="preserve">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项目编号：</w:t>
    </w:r>
    <w:r>
      <w:rPr>
        <w:rFonts w:hint="eastAsia" w:asciiTheme="minorEastAsia" w:hAnsiTheme="minorEastAsia" w:eastAsiaTheme="minorEastAsia"/>
        <w:lang w:eastAsia="zh-CN"/>
      </w:rPr>
      <w:t>SZZZ2022-QA0305</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54159E"/>
    <w:rsid w:val="0FBC50EF"/>
    <w:rsid w:val="115F3FD7"/>
    <w:rsid w:val="11A259DD"/>
    <w:rsid w:val="120474A0"/>
    <w:rsid w:val="13102ABE"/>
    <w:rsid w:val="167D280D"/>
    <w:rsid w:val="17047766"/>
    <w:rsid w:val="17935895"/>
    <w:rsid w:val="17F52C18"/>
    <w:rsid w:val="184530EF"/>
    <w:rsid w:val="19227A4B"/>
    <w:rsid w:val="1B3E182A"/>
    <w:rsid w:val="1B4B5195"/>
    <w:rsid w:val="1C174C6F"/>
    <w:rsid w:val="1C2A6A74"/>
    <w:rsid w:val="1C7C020D"/>
    <w:rsid w:val="1C8F78BA"/>
    <w:rsid w:val="1C9B0D84"/>
    <w:rsid w:val="1CDD3F3B"/>
    <w:rsid w:val="1D4D6869"/>
    <w:rsid w:val="1D83473A"/>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7AE4D53"/>
    <w:rsid w:val="29812BF0"/>
    <w:rsid w:val="2AD85037"/>
    <w:rsid w:val="2BD0253B"/>
    <w:rsid w:val="2C444480"/>
    <w:rsid w:val="2C564DC3"/>
    <w:rsid w:val="2D6C141D"/>
    <w:rsid w:val="2EB64B4B"/>
    <w:rsid w:val="2EDB590A"/>
    <w:rsid w:val="2F0A29E3"/>
    <w:rsid w:val="2F5A7A68"/>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7F44B22"/>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8A71FA"/>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2">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2"/>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2"/>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45666</Words>
  <Characters>48765</Characters>
  <Lines>397</Lines>
  <Paragraphs>111</Paragraphs>
  <TotalTime>9</TotalTime>
  <ScaleCrop>false</ScaleCrop>
  <LinksUpToDate>false</LinksUpToDate>
  <CharactersWithSpaces>51196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2022-11-14T03:26:30Z</dcterms:modified>
  <dc:title>招标编号：UHO2010-G0029</dc:title>
  <cp:revision>538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7BFDC5EB57DD4FDC837EF7E4C3C6D697</vt:lpwstr>
  </property>
</Properties>
</file>